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 SÖZLEŞMENİN KONUSU VE TARAFLAR</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İşbu Sözleşme, Konya İli, Çumra İlçesinde gerçekleştirilmesi planlanan </w:t>
      </w:r>
      <w:r w:rsidDel="00000000" w:rsidR="00000000" w:rsidRPr="00000000">
        <w:rPr>
          <w:rFonts w:ascii="Arial" w:cs="Arial" w:eastAsia="Arial" w:hAnsi="Arial"/>
          <w:sz w:val="22"/>
          <w:szCs w:val="22"/>
          <w:rtl w:val="0"/>
        </w:rPr>
        <w:t xml:space="preserve">Çumra şeker fabrikası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sz w:val="22"/>
          <w:szCs w:val="22"/>
          <w:rtl w:val="0"/>
        </w:rPr>
        <w:t xml:space="preserve">Difüzyon Yatırımı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İnşaatı işinde kullanılacak olan inşaat demirinin temini, şantiye sahasına sevkiyatı ve teslimatının Alıcı’nın iş programının aksamadan yürütülmesini gerçekleştirecek şekilde yapılması için aşağıdaki taraflar arasında (bundan böyle Alıcı ve Satıcı olarak ifade edilecektir) yapılmıştır.</w:t>
      </w:r>
    </w:p>
    <w:p w:rsidR="00000000" w:rsidDel="00000000" w:rsidP="00000000" w:rsidRDefault="00000000" w:rsidRPr="00000000" w14:paraId="00000004">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5">
      <w:pPr>
        <w:spacing w:line="276" w:lineRule="auto"/>
        <w:jc w:val="both"/>
        <w:rPr>
          <w:rFonts w:ascii="Arial" w:cs="Arial" w:eastAsia="Arial" w:hAnsi="Arial"/>
          <w:sz w:val="6"/>
          <w:szCs w:val="6"/>
          <w:vertAlign w:val="baseline"/>
        </w:rPr>
      </w:pPr>
      <w:r w:rsidDel="00000000" w:rsidR="00000000" w:rsidRPr="00000000">
        <w:rPr>
          <w:rtl w:val="0"/>
        </w:rPr>
      </w:r>
    </w:p>
    <w:p w:rsidR="00000000" w:rsidDel="00000000" w:rsidP="00000000" w:rsidRDefault="00000000" w:rsidRPr="00000000" w14:paraId="00000006">
      <w:pPr>
        <w:spacing w:line="276" w:lineRule="auto"/>
        <w:jc w:val="both"/>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ALICI</w:t>
        <w:tab/>
        <w:tab/>
        <w:t xml:space="preserve">: KONYA ŞEKER SANAYİ VE TİCARET A.Ş. </w:t>
      </w:r>
      <w:r w:rsidDel="00000000" w:rsidR="00000000" w:rsidRPr="00000000">
        <w:rPr>
          <w:rtl w:val="0"/>
        </w:rPr>
      </w:r>
    </w:p>
    <w:p w:rsidR="00000000" w:rsidDel="00000000" w:rsidP="00000000" w:rsidRDefault="00000000" w:rsidRPr="00000000" w14:paraId="00000007">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Adres</w:t>
        <w:tab/>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8">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Telefon</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9">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Faks</w:t>
        <w:tab/>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A">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Vergi No</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B">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Tic. Sicil No</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C">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ab/>
        <w:tab/>
        <w:tab/>
        <w:tab/>
        <w:tab/>
        <w:tab/>
        <w:tab/>
      </w:r>
    </w:p>
    <w:p w:rsidR="00000000" w:rsidDel="00000000" w:rsidP="00000000" w:rsidRDefault="00000000" w:rsidRPr="00000000" w14:paraId="0000000D">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E">
      <w:pPr>
        <w:spacing w:line="276" w:lineRule="auto"/>
        <w:jc w:val="both"/>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SATICI</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F">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Adres</w:t>
        <w:tab/>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10">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Telefon</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11">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Faks</w:t>
        <w:tab/>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12">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Vergi No</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13">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Tic. Sicil No</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14">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15">
      <w:pPr>
        <w:spacing w:line="276" w:lineRule="auto"/>
        <w:jc w:val="both"/>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2. ÜRÜN TANIMI VE BİRİM FİYATI</w:t>
      </w:r>
    </w:p>
    <w:p w:rsidR="00000000" w:rsidDel="00000000" w:rsidP="00000000" w:rsidRDefault="00000000" w:rsidRPr="00000000" w14:paraId="0000001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Konya İli, </w:t>
      </w:r>
      <w:r w:rsidDel="00000000" w:rsidR="00000000" w:rsidRPr="00000000">
        <w:rPr>
          <w:rFonts w:ascii="Arial" w:cs="Arial" w:eastAsia="Arial" w:hAnsi="Arial"/>
          <w:sz w:val="22"/>
          <w:szCs w:val="22"/>
          <w:rtl w:val="0"/>
        </w:rPr>
        <w:t xml:space="preserve">Çumra İlçesinde gerçekleştirilmesi planlanan Çumra şeker fabrikası  hurdalık Alanı Saha Beton  İnşaatı işinde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SATICI tarafından temin ve şantiye sahasına nakil edilecek olan İnşaat Demirinin özellik ve birim fiyatları aşağıdaki gibidir.</w:t>
      </w:r>
    </w:p>
    <w:p w:rsidR="00000000" w:rsidDel="00000000" w:rsidP="00000000" w:rsidRDefault="00000000" w:rsidRPr="00000000" w14:paraId="00000018">
      <w:pPr>
        <w:ind w:left="1080" w:firstLine="0"/>
        <w:jc w:val="both"/>
        <w:rPr>
          <w:rFonts w:ascii="Arial" w:cs="Arial" w:eastAsia="Arial" w:hAnsi="Arial"/>
          <w:sz w:val="22"/>
          <w:szCs w:val="22"/>
          <w:vertAlign w:val="baseline"/>
        </w:rPr>
      </w:pPr>
      <w:r w:rsidDel="00000000" w:rsidR="00000000" w:rsidRPr="00000000">
        <w:rPr>
          <w:rtl w:val="0"/>
        </w:rPr>
      </w:r>
    </w:p>
    <w:tbl>
      <w:tblPr>
        <w:tblStyle w:val="Table1"/>
        <w:tblW w:w="9600.0" w:type="dxa"/>
        <w:jc w:val="left"/>
        <w:tblInd w:w="5.0" w:type="dxa"/>
        <w:tblLayout w:type="fixed"/>
        <w:tblLook w:val="0000"/>
      </w:tblPr>
      <w:tblGrid>
        <w:gridCol w:w="975"/>
        <w:gridCol w:w="4410"/>
        <w:gridCol w:w="705"/>
        <w:gridCol w:w="990"/>
        <w:gridCol w:w="1050"/>
        <w:gridCol w:w="1470"/>
        <w:tblGridChange w:id="0">
          <w:tblGrid>
            <w:gridCol w:w="975"/>
            <w:gridCol w:w="4410"/>
            <w:gridCol w:w="705"/>
            <w:gridCol w:w="990"/>
            <w:gridCol w:w="1050"/>
            <w:gridCol w:w="1470"/>
          </w:tblGrid>
        </w:tblGridChange>
      </w:tblGrid>
      <w:tr>
        <w:trPr>
          <w:cantSplit w:val="0"/>
          <w:trHeight w:val="60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9">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POZ</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01A">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POZ İSMİ</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01B">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BİRİM</w:t>
            </w:r>
            <w:r w:rsidDel="00000000" w:rsidR="00000000" w:rsidRPr="00000000">
              <w:rPr>
                <w:rtl w:val="0"/>
              </w:rPr>
            </w:r>
          </w:p>
        </w:tc>
        <w:tc>
          <w:tcPr>
            <w:tcBorders>
              <w:top w:color="000000" w:space="0" w:sz="4" w:val="single"/>
              <w:left w:color="000000" w:space="0" w:sz="0" w:val="nil"/>
              <w:bottom w:color="000000" w:space="0" w:sz="0" w:val="nil"/>
              <w:right w:color="000000" w:space="0" w:sz="4" w:val="single"/>
            </w:tcBorders>
            <w:shd w:fill="d9d9d9" w:val="clear"/>
            <w:vAlign w:val="center"/>
          </w:tcPr>
          <w:p w:rsidR="00000000" w:rsidDel="00000000" w:rsidP="00000000" w:rsidRDefault="00000000" w:rsidRPr="00000000" w14:paraId="0000001C">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METRAJ</w:t>
            </w:r>
            <w:r w:rsidDel="00000000" w:rsidR="00000000" w:rsidRPr="00000000">
              <w:rPr>
                <w:rtl w:val="0"/>
              </w:rPr>
            </w:r>
          </w:p>
        </w:tc>
        <w:tc>
          <w:tcPr>
            <w:tcBorders>
              <w:top w:color="000000" w:space="0" w:sz="4" w:val="single"/>
              <w:left w:color="000000" w:space="0" w:sz="0" w:val="nil"/>
              <w:bottom w:color="000000" w:space="0" w:sz="0" w:val="nil"/>
              <w:right w:color="000000" w:space="0" w:sz="4" w:val="single"/>
            </w:tcBorders>
            <w:shd w:fill="d9d9d9" w:val="clear"/>
            <w:vAlign w:val="center"/>
          </w:tcPr>
          <w:p w:rsidR="00000000" w:rsidDel="00000000" w:rsidP="00000000" w:rsidRDefault="00000000" w:rsidRPr="00000000" w14:paraId="0000001D">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BİRİM FİYAT</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01E">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TOPLAM MALİYET</w:t>
            </w:r>
            <w:r w:rsidDel="00000000" w:rsidR="00000000" w:rsidRPr="00000000">
              <w:rPr>
                <w:rtl w:val="0"/>
              </w:rPr>
            </w:r>
          </w:p>
        </w:tc>
      </w:tr>
      <w:tr>
        <w:trPr>
          <w:cantSplit w:val="0"/>
          <w:trHeight w:val="541"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rPr>
                <w:rFonts w:ascii="Arial" w:cs="Arial" w:eastAsia="Arial" w:hAnsi="Arial"/>
                <w:color w:val="000000"/>
                <w:sz w:val="20"/>
                <w:szCs w:val="20"/>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0">
            <w:pPr>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Ø</w:t>
            </w:r>
            <w:r w:rsidDel="00000000" w:rsidR="00000000" w:rsidRPr="00000000">
              <w:rPr>
                <w:rFonts w:ascii="Arial" w:cs="Arial" w:eastAsia="Arial" w:hAnsi="Arial"/>
                <w:sz w:val="20"/>
                <w:szCs w:val="20"/>
                <w:rtl w:val="0"/>
              </w:rPr>
              <w:t xml:space="preserve">28</w:t>
            </w:r>
            <w:r w:rsidDel="00000000" w:rsidR="00000000" w:rsidRPr="00000000">
              <w:rPr>
                <w:rFonts w:ascii="Arial" w:cs="Arial" w:eastAsia="Arial" w:hAnsi="Arial"/>
                <w:color w:val="000000"/>
                <w:sz w:val="20"/>
                <w:szCs w:val="20"/>
                <w:vertAlign w:val="baseline"/>
                <w:rtl w:val="0"/>
              </w:rPr>
              <w:t xml:space="preserve"> mm Çapında İnşaat Demiri Temini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1">
            <w:pPr>
              <w:jc w:val="center"/>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TON</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2">
            <w:pPr>
              <w:jc w:val="center"/>
              <w:rPr>
                <w:rFonts w:ascii="Arial" w:cs="Arial" w:eastAsia="Arial" w:hAnsi="Arial"/>
                <w:color w:val="000000"/>
                <w:sz w:val="20"/>
                <w:szCs w:val="20"/>
                <w:vertAlign w:val="baseline"/>
              </w:rPr>
            </w:pPr>
            <w:r w:rsidDel="00000000" w:rsidR="00000000" w:rsidRPr="00000000">
              <w:rPr>
                <w:rFonts w:ascii="Arial" w:cs="Arial" w:eastAsia="Arial" w:hAnsi="Arial"/>
                <w:sz w:val="20"/>
                <w:szCs w:val="20"/>
                <w:rtl w:val="0"/>
              </w:rPr>
              <w:t xml:space="preserve">72</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23">
            <w:pPr>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4">
            <w:pPr>
              <w:jc w:val="right"/>
              <w:rPr>
                <w:rFonts w:ascii="Arial" w:cs="Arial" w:eastAsia="Arial" w:hAnsi="Arial"/>
                <w:color w:val="000000"/>
                <w:sz w:val="20"/>
                <w:szCs w:val="20"/>
                <w:vertAlign w:val="baseline"/>
              </w:rPr>
            </w:pPr>
            <w:r w:rsidDel="00000000" w:rsidR="00000000" w:rsidRPr="00000000">
              <w:rPr>
                <w:rtl w:val="0"/>
              </w:rPr>
            </w:r>
          </w:p>
        </w:tc>
      </w:tr>
      <w:tr>
        <w:trPr>
          <w:cantSplit w:val="0"/>
          <w:trHeight w:val="84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rPr>
                <w:rFonts w:ascii="Arial" w:cs="Arial" w:eastAsia="Arial" w:hAnsi="Arial"/>
                <w:color w:val="000000"/>
                <w:sz w:val="20"/>
                <w:szCs w:val="20"/>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6">
            <w:pPr>
              <w:rPr>
                <w:rFonts w:ascii="Arial" w:cs="Arial" w:eastAsia="Arial" w:hAnsi="Arial"/>
                <w:color w:val="000000"/>
                <w:sz w:val="20"/>
                <w:szCs w:val="20"/>
                <w:vertAlign w:val="baseline"/>
              </w:rPr>
            </w:pPr>
            <w:r w:rsidDel="00000000" w:rsidR="00000000" w:rsidRPr="00000000">
              <w:rPr>
                <w:rFonts w:ascii="Arial" w:cs="Arial" w:eastAsia="Arial" w:hAnsi="Arial"/>
                <w:sz w:val="20"/>
                <w:szCs w:val="20"/>
                <w:rtl w:val="0"/>
              </w:rPr>
              <w:t xml:space="preserve">Ø20 mm Çapında İnşaat Demiri Temini</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7">
            <w:pPr>
              <w:jc w:val="center"/>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TON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8">
            <w:pPr>
              <w:jc w:val="center"/>
              <w:rPr>
                <w:rFonts w:ascii="Arial" w:cs="Arial" w:eastAsia="Arial" w:hAnsi="Arial"/>
                <w:color w:val="000000"/>
                <w:sz w:val="20"/>
                <w:szCs w:val="20"/>
                <w:vertAlign w:val="baseline"/>
              </w:rPr>
            </w:pPr>
            <w:r w:rsidDel="00000000" w:rsidR="00000000" w:rsidRPr="00000000">
              <w:rPr>
                <w:rFonts w:ascii="Arial" w:cs="Arial" w:eastAsia="Arial" w:hAnsi="Arial"/>
                <w:sz w:val="20"/>
                <w:szCs w:val="20"/>
                <w:rtl w:val="0"/>
              </w:rPr>
              <w:t xml:space="preserve">8</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9">
            <w:pPr>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A">
            <w:pPr>
              <w:jc w:val="right"/>
              <w:rPr>
                <w:rFonts w:ascii="Arial" w:cs="Arial" w:eastAsia="Arial" w:hAnsi="Arial"/>
                <w:color w:val="000000"/>
                <w:sz w:val="20"/>
                <w:szCs w:val="20"/>
                <w:vertAlign w:val="baseline"/>
              </w:rPr>
            </w:pPr>
            <w:r w:rsidDel="00000000" w:rsidR="00000000" w:rsidRPr="00000000">
              <w:rPr>
                <w:rtl w:val="0"/>
              </w:rPr>
            </w:r>
          </w:p>
        </w:tc>
      </w:tr>
      <w:tr>
        <w:trPr>
          <w:cantSplit w:val="0"/>
          <w:trHeight w:val="84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rPr>
                <w:rFonts w:ascii="Arial" w:cs="Arial" w:eastAsia="Arial" w:hAnsi="Arial"/>
                <w:color w:val="000000"/>
                <w:sz w:val="20"/>
                <w:szCs w:val="20"/>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C">
            <w:pPr>
              <w:rPr>
                <w:rFonts w:ascii="Arial" w:cs="Arial" w:eastAsia="Arial" w:hAnsi="Arial"/>
                <w:sz w:val="20"/>
                <w:szCs w:val="20"/>
              </w:rPr>
            </w:pPr>
            <w:r w:rsidDel="00000000" w:rsidR="00000000" w:rsidRPr="00000000">
              <w:rPr>
                <w:rFonts w:ascii="Arial" w:cs="Arial" w:eastAsia="Arial" w:hAnsi="Arial"/>
                <w:sz w:val="20"/>
                <w:szCs w:val="20"/>
                <w:rtl w:val="0"/>
              </w:rPr>
              <w:t xml:space="preserve">Ø18 mm Çapında İnşaat Demiri Temini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D">
            <w:pPr>
              <w:jc w:val="center"/>
              <w:rPr>
                <w:rFonts w:ascii="Arial" w:cs="Arial" w:eastAsia="Arial" w:hAnsi="Arial"/>
                <w:color w:val="000000"/>
                <w:sz w:val="20"/>
                <w:szCs w:val="20"/>
                <w:vertAlign w:val="baseline"/>
              </w:rPr>
            </w:pPr>
            <w:r w:rsidDel="00000000" w:rsidR="00000000" w:rsidRPr="00000000">
              <w:rPr>
                <w:rFonts w:ascii="Arial" w:cs="Arial" w:eastAsia="Arial" w:hAnsi="Arial"/>
                <w:sz w:val="20"/>
                <w:szCs w:val="20"/>
                <w:rtl w:val="0"/>
              </w:rPr>
              <w:t xml:space="preserve">TON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F">
            <w:pPr>
              <w:rPr>
                <w:rFonts w:ascii="Arial" w:cs="Arial" w:eastAsia="Arial" w:hAnsi="Arial"/>
                <w:color w:val="000000"/>
                <w:sz w:val="20"/>
                <w:szCs w:val="20"/>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0">
            <w:pPr>
              <w:jc w:val="right"/>
              <w:rPr>
                <w:rFonts w:ascii="Arial" w:cs="Arial" w:eastAsia="Arial" w:hAnsi="Arial"/>
                <w:color w:val="000000"/>
                <w:sz w:val="20"/>
                <w:szCs w:val="20"/>
                <w:vertAlign w:val="baseline"/>
              </w:rPr>
            </w:pPr>
            <w:r w:rsidDel="00000000" w:rsidR="00000000" w:rsidRPr="00000000">
              <w:rPr>
                <w:rtl w:val="0"/>
              </w:rPr>
            </w:r>
          </w:p>
        </w:tc>
      </w:tr>
      <w:tr>
        <w:trPr>
          <w:cantSplit w:val="0"/>
          <w:trHeight w:val="84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rPr>
                <w:rFonts w:ascii="Arial" w:cs="Arial" w:eastAsia="Arial" w:hAnsi="Arial"/>
                <w:color w:val="000000"/>
                <w:sz w:val="20"/>
                <w:szCs w:val="20"/>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2">
            <w:pPr>
              <w:rPr>
                <w:rFonts w:ascii="Arial" w:cs="Arial" w:eastAsia="Arial" w:hAnsi="Arial"/>
                <w:sz w:val="20"/>
                <w:szCs w:val="20"/>
              </w:rPr>
            </w:pPr>
            <w:r w:rsidDel="00000000" w:rsidR="00000000" w:rsidRPr="00000000">
              <w:rPr>
                <w:rFonts w:ascii="Arial" w:cs="Arial" w:eastAsia="Arial" w:hAnsi="Arial"/>
                <w:sz w:val="20"/>
                <w:szCs w:val="20"/>
                <w:rtl w:val="0"/>
              </w:rPr>
              <w:t xml:space="preserve">Ø16 mm Çapında İnşaat Demiri Temini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5">
            <w:pPr>
              <w:rPr>
                <w:rFonts w:ascii="Arial" w:cs="Arial" w:eastAsia="Arial" w:hAnsi="Arial"/>
                <w:color w:val="000000"/>
                <w:sz w:val="20"/>
                <w:szCs w:val="20"/>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6">
            <w:pPr>
              <w:jc w:val="right"/>
              <w:rPr>
                <w:rFonts w:ascii="Arial" w:cs="Arial" w:eastAsia="Arial" w:hAnsi="Arial"/>
                <w:color w:val="000000"/>
                <w:sz w:val="20"/>
                <w:szCs w:val="20"/>
                <w:vertAlign w:val="baseline"/>
              </w:rPr>
            </w:pPr>
            <w:r w:rsidDel="00000000" w:rsidR="00000000" w:rsidRPr="00000000">
              <w:rPr>
                <w:rtl w:val="0"/>
              </w:rPr>
            </w:r>
          </w:p>
        </w:tc>
      </w:tr>
      <w:tr>
        <w:trPr>
          <w:cantSplit w:val="0"/>
          <w:trHeight w:val="84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rPr>
                <w:rFonts w:ascii="Arial" w:cs="Arial" w:eastAsia="Arial" w:hAnsi="Arial"/>
                <w:color w:val="000000"/>
                <w:sz w:val="20"/>
                <w:szCs w:val="20"/>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8">
            <w:pPr>
              <w:rPr>
                <w:rFonts w:ascii="Arial" w:cs="Arial" w:eastAsia="Arial" w:hAnsi="Arial"/>
                <w:sz w:val="20"/>
                <w:szCs w:val="20"/>
              </w:rPr>
            </w:pPr>
            <w:r w:rsidDel="00000000" w:rsidR="00000000" w:rsidRPr="00000000">
              <w:rPr>
                <w:rFonts w:ascii="Arial" w:cs="Arial" w:eastAsia="Arial" w:hAnsi="Arial"/>
                <w:sz w:val="20"/>
                <w:szCs w:val="20"/>
                <w:rtl w:val="0"/>
              </w:rPr>
              <w:t xml:space="preserve">Ø10 mm Çapında İnşaat Demiri Temini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TON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B">
            <w:pPr>
              <w:rPr>
                <w:rFonts w:ascii="Arial" w:cs="Arial" w:eastAsia="Arial" w:hAnsi="Arial"/>
                <w:color w:val="000000"/>
                <w:sz w:val="20"/>
                <w:szCs w:val="20"/>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C">
            <w:pPr>
              <w:jc w:val="right"/>
              <w:rPr>
                <w:rFonts w:ascii="Arial" w:cs="Arial" w:eastAsia="Arial" w:hAnsi="Arial"/>
                <w:color w:val="000000"/>
                <w:sz w:val="20"/>
                <w:szCs w:val="20"/>
                <w:vertAlign w:val="baseline"/>
              </w:rPr>
            </w:pPr>
            <w:r w:rsidDel="00000000" w:rsidR="00000000" w:rsidRPr="00000000">
              <w:rPr>
                <w:rtl w:val="0"/>
              </w:rPr>
            </w:r>
          </w:p>
        </w:tc>
      </w:tr>
      <w:tr>
        <w:trPr>
          <w:cantSplit w:val="0"/>
          <w:trHeight w:val="660" w:hRule="atLeast"/>
          <w:tblHeader w:val="0"/>
        </w:trPr>
        <w:tc>
          <w:tcPr>
            <w:gridSpan w:val="5"/>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D">
            <w:pPr>
              <w:ind w:firstLine="402"/>
              <w:jc w:val="right"/>
              <w:rPr>
                <w:rFonts w:ascii="Arial" w:cs="Arial" w:eastAsia="Arial" w:hAnsi="Arial"/>
                <w:b w:val="0"/>
                <w:color w:val="000000"/>
                <w:sz w:val="20"/>
                <w:szCs w:val="20"/>
                <w:vertAlign w:val="baseline"/>
              </w:rPr>
            </w:pPr>
            <w:r w:rsidDel="00000000" w:rsidR="00000000" w:rsidRPr="00000000">
              <w:rPr>
                <w:rFonts w:ascii="Arial" w:cs="Arial" w:eastAsia="Arial" w:hAnsi="Arial"/>
                <w:b w:val="1"/>
                <w:color w:val="000000"/>
                <w:sz w:val="20"/>
                <w:szCs w:val="20"/>
                <w:vertAlign w:val="baseline"/>
                <w:rtl w:val="0"/>
              </w:rPr>
              <w:t xml:space="preserve">GENEL TOPLAM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2">
            <w:pPr>
              <w:jc w:val="right"/>
              <w:rPr>
                <w:rFonts w:ascii="Arial" w:cs="Arial" w:eastAsia="Arial" w:hAnsi="Arial"/>
                <w:b w:val="0"/>
                <w:color w:val="000000"/>
                <w:sz w:val="20"/>
                <w:szCs w:val="20"/>
                <w:vertAlign w:val="baseline"/>
              </w:rPr>
            </w:pPr>
            <w:r w:rsidDel="00000000" w:rsidR="00000000" w:rsidRPr="00000000">
              <w:rPr>
                <w:rtl w:val="0"/>
              </w:rPr>
            </w:r>
          </w:p>
        </w:tc>
      </w:tr>
    </w:tbl>
    <w:p w:rsidR="00000000" w:rsidDel="00000000" w:rsidP="00000000" w:rsidRDefault="00000000" w:rsidRPr="00000000" w14:paraId="00000043">
      <w:pPr>
        <w:ind w:left="1080" w:firstLine="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4">
      <w:pPr>
        <w:ind w:left="1080" w:firstLine="0"/>
        <w:jc w:val="both"/>
        <w:rPr>
          <w:rFonts w:ascii="Arial" w:cs="Arial" w:eastAsia="Arial" w:hAnsi="Arial"/>
          <w:sz w:val="8"/>
          <w:szCs w:val="8"/>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Sözleşmenin tutarı ………… TL (………… TürkLirası) (KDV hariç) olup Ekli şartnamede belirtilen esaslara uygun olarak birim fiyat şeklinde yapılacaktır. İş kalemleri tablo ile yukarıda sunulmuştur.</w:t>
      </w:r>
    </w:p>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3. SÖZLEŞME BEDELİ</w:t>
      </w:r>
    </w:p>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Konya İli, </w:t>
      </w:r>
      <w:r w:rsidDel="00000000" w:rsidR="00000000" w:rsidRPr="00000000">
        <w:rPr>
          <w:rFonts w:ascii="Arial" w:cs="Arial" w:eastAsia="Arial" w:hAnsi="Arial"/>
          <w:sz w:val="22"/>
          <w:szCs w:val="22"/>
          <w:rtl w:val="0"/>
        </w:rPr>
        <w:t xml:space="preserve">Çumra İlçesinde gerçekleştirilmesi planlanan Çumra şeker fabrikası Difüzyon yatırımı inşaat işleri için inşaat demiri  inşaat işinde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Alıcı’ya satılacak olan İnşaat Demirinin özellik ve birim fiyatları Madde 2’deki gibidir.</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Sözleşmenin tutarı …………… TL (………………….) (KDV hariç) olup Ek-1’de belirtilen teknik şartnamede belirtilen esaslara uygun olarak birim fiyat şeklinde yapılacaktır.</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Madde 2’de bildirilen İş miktarları yaklaşıktır ancak Alıcı bu sözleşme hükümleri kapsamında belirtilen miktarlardan %30 azaltma, %1</w:t>
      </w:r>
      <w:r w:rsidDel="00000000" w:rsidR="00000000" w:rsidRPr="00000000">
        <w:rPr>
          <w:rFonts w:ascii="Arial" w:cs="Arial" w:eastAsia="Arial" w:hAnsi="Arial"/>
          <w:sz w:val="22"/>
          <w:szCs w:val="22"/>
          <w:rtl w:val="0"/>
        </w:rPr>
        <w:t xml:space="preserve">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 arttırma yapabilir.</w:t>
      </w:r>
    </w:p>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4. FİYAT, ÖLÇME VE ÖDEME ŞEKLİ:</w:t>
      </w:r>
    </w:p>
    <w:p w:rsidR="00000000" w:rsidDel="00000000" w:rsidP="00000000" w:rsidRDefault="00000000" w:rsidRPr="00000000" w14:paraId="000000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İşbu satış sözleşmesinde belirtilen özelliklere sahip inşaat demirinin fiyatları tablo ile işbu sözleşmenin Madde-2’sinde belirlenmiş olup, işbu fiyatlara KDV dahil değildir.</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 ayın son günü, şantiyeye sevk edilen inşaat demiri miktarlarını gösterir hakediş raporu, irsaliyeler, kantar tutanakları Alıcı yetkilisi tarafından onaylanacaktır. Onaylanan hakedişlere esas fatura kesilecek olup fatura tarihini takiben 30 (otuz) gün sonra Satıcı’nın banka hesabına ödeme yapılacaktır.</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İnşaat demiri Miktarının Ölçülmesi: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Nakledilen inşaat demiri, şantiyedeki kantara giriş-çıkış yapacak ve alıcının yetkilisi tarafından kantar fişleri onaylanacaktır. Ödemelerde bu kantar fişlerindeki miktarlar esas alınacaktır.</w:t>
      </w:r>
    </w:p>
    <w:p w:rsidR="00000000" w:rsidDel="00000000" w:rsidP="00000000" w:rsidRDefault="00000000" w:rsidRPr="00000000" w14:paraId="00000055">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5. SABİT FİYAT</w:t>
      </w:r>
    </w:p>
    <w:p w:rsidR="00000000" w:rsidDel="00000000" w:rsidP="00000000" w:rsidRDefault="00000000" w:rsidRPr="00000000" w14:paraId="00000056">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İş bu Sözleşme kapsamında fiyat farkı verilmez. Satıcı, Sözleşmeye ekli birim fiyatlarının sabit ve kesin olduğunu kabul ve beyan eder. Satıcı İş’in süresi boyunca yürürlükteki mevzuat, kanun, tüzük vb.ndeki değişikliklerden dolayı yahut işçilik, malzeme, vergi ve sigorta oranlarında, resmi fiyatlarda meydana gelebilecek artışlar sebebiyle veya herhangi bir diğer sebeple birim fiyatları arttıramaz, İş’in kapsamında bu nedenle bir ek ödeme talep edemez. </w:t>
      </w:r>
    </w:p>
    <w:p w:rsidR="00000000" w:rsidDel="00000000" w:rsidP="00000000" w:rsidRDefault="00000000" w:rsidRPr="00000000" w14:paraId="00000057">
      <w:pPr>
        <w:spacing w:line="276" w:lineRule="auto"/>
        <w:jc w:val="both"/>
        <w:rPr>
          <w:rFonts w:ascii="Arial" w:cs="Arial" w:eastAsia="Arial" w:hAnsi="Arial"/>
          <w:b w:val="0"/>
          <w:sz w:val="6"/>
          <w:szCs w:val="6"/>
          <w:vertAlign w:val="baseline"/>
        </w:rPr>
      </w:pPr>
      <w:r w:rsidDel="00000000" w:rsidR="00000000" w:rsidRPr="00000000">
        <w:rPr>
          <w:rtl w:val="0"/>
        </w:rPr>
      </w:r>
    </w:p>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6. TESLİM SÜRESİ VE TESLİMAT YERİ:</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Satıcı inşaat demirini aynen ve aracısız olarak alıcıya veya onun yetkili temsilcisine, katalog/şartname/teklif ve sözleşmedeki şartlara haiz eksiksiz, kusursuz, ayıpsız, standartlarına uygun bir şekilde sahada, şantiyede, alıcının iş programına uygun olarak işin aksamasına meydan vermeyecek şekilde teslim edecektir.</w:t>
      </w:r>
    </w:p>
    <w:p w:rsidR="00000000" w:rsidDel="00000000" w:rsidP="00000000" w:rsidRDefault="00000000" w:rsidRPr="00000000" w14:paraId="0000005C">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İnşaat demirini teslimi için gerekli olan teslim, taşıma, ambalaj vb. masraflar ile taşıma ve teslim sırasında meydana gelebilecek zararlardan satıcı sorumlu olacaktır. Nakliye esnasında 27255 sayılı Karayolları yönetmeliğine uyulacaktır.</w:t>
      </w:r>
    </w:p>
    <w:p w:rsidR="00000000" w:rsidDel="00000000" w:rsidP="00000000" w:rsidRDefault="00000000" w:rsidRPr="00000000" w14:paraId="0000005D">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İlgili siparişler Alıcı tarafından verildikten sonra en fazla 5 gün içerisinde şantiye sahasına teslim edilecektir. Teslim gününde ve siparişlerde yapılacak değişiklikler, teslimden 3 gün öncesine kadar satıcıya bildirilecek ve belirlenen gün ve saatte sevkiyat yapılacak ve satış gerçekleştirilecektir.</w:t>
      </w:r>
    </w:p>
    <w:p w:rsidR="00000000" w:rsidDel="00000000" w:rsidP="00000000" w:rsidRDefault="00000000" w:rsidRPr="00000000" w14:paraId="0000005E">
      <w:pPr>
        <w:spacing w:line="276" w:lineRule="auto"/>
        <w:jc w:val="both"/>
        <w:rPr>
          <w:rFonts w:ascii="Arial" w:cs="Arial" w:eastAsia="Arial" w:hAnsi="Arial"/>
          <w:sz w:val="6"/>
          <w:szCs w:val="6"/>
          <w:vertAlign w:val="baseline"/>
        </w:rPr>
      </w:pPr>
      <w:r w:rsidDel="00000000" w:rsidR="00000000" w:rsidRPr="00000000">
        <w:rPr>
          <w:rtl w:val="0"/>
        </w:rPr>
      </w:r>
    </w:p>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7. CEZAİ ŞARTLAR</w:t>
      </w:r>
    </w:p>
    <w:p w:rsidR="00000000" w:rsidDel="00000000" w:rsidP="00000000" w:rsidRDefault="00000000" w:rsidRPr="00000000" w14:paraId="00000060">
      <w:pPr>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ab/>
      </w:r>
      <w:r w:rsidDel="00000000" w:rsidR="00000000" w:rsidRPr="00000000">
        <w:rPr>
          <w:rFonts w:ascii="Arial" w:cs="Arial" w:eastAsia="Arial" w:hAnsi="Arial"/>
          <w:sz w:val="22"/>
          <w:szCs w:val="22"/>
          <w:vertAlign w:val="baseline"/>
          <w:rtl w:val="0"/>
        </w:rPr>
        <w:t xml:space="preserve">Sevkiyatın süresinde gerçekleştirilmemesi, standartlara uygun olmayan inşaat demiri sevk edilmesi gibi durumlardan kaynaklanan alıcının uğrayacağı her türlü masraf satıcının sorumluluğunda olacaktır.</w:t>
      </w:r>
    </w:p>
    <w:p w:rsidR="00000000" w:rsidDel="00000000" w:rsidP="00000000" w:rsidRDefault="00000000" w:rsidRPr="00000000" w14:paraId="00000061">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Alıcı bu cezai şartı, satıcıya ödeyeceği inşaat demiri bedelinden mahsup edebilecektir.</w:t>
      </w:r>
    </w:p>
    <w:p w:rsidR="00000000" w:rsidDel="00000000" w:rsidP="00000000" w:rsidRDefault="00000000" w:rsidRPr="00000000" w14:paraId="00000062">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8. SATICI’NIN DİĞER YÜKÜMLÜLÜKLERİ:</w:t>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Alıcı tarafından verilen siparişler, sözleşme şartlarına ve TS 708’e uygun, S420a minimum akma karakteristik dayanımın fyk=4200 kg/cm² olan nervürlü çubuklardan olacaktır.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Alıcı isterse sahaya getirilen aynı çaptaki betonarme inşaat demirlerinin her partisi, ya da her 10 tonu için bir çekme, bir de kıvırma deneyi yapılacaktır. Eğer bir partide gelen inşaat demirlerin çapları farklı ise, her çaptan örnekler alınarak, her birinden de birer çekme ve birer kıvırma deneyi yapılacaktır. Örnekteki uzama miktarı şartnamede belirtilen minimum limitten az ise ya da çekme sırasında çubuk, ortadaki 1/3 noktalarının dışındaki bir noktadan kopmuş ise deney yeniden yapılacaktır. Standarda uymayan demir iade edilecektir.</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Şantiye sahasına gelen inşaat demirleri, Alıcı isterse bağımsız bir denetçi firma tarafından test ettirilecektir, bununla ilgili tüm masraflar Satıcı’ya ait olacaktır.</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Şantiye sahasına nakledilen her bir inşaat demiri bağı için inşaat demiri çapını gösterir etiketler Satıcı tarafından yerleştirilecektir.</w:t>
      </w:r>
    </w:p>
    <w:p w:rsidR="00000000" w:rsidDel="00000000" w:rsidP="00000000" w:rsidRDefault="00000000" w:rsidRPr="00000000" w14:paraId="00000070">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Satıcı tarafından şantiye sahasına getirilen inşaat demiri indirilmeden önce Alıcı temsilcisi tarafından incelenecek eğrilmiş, zedelenmiş, oksitlenmiş, standartlara uygun boyda ve çapta olmayan inşaat demirleri iade edilecektir. Bu durumda Satıcı iade edilen inşaat demiri için bir bedel talep edemez ve yerine sağlam inşaat demirini en kısa sürede getirmekle yükümlüdür. </w:t>
      </w:r>
    </w:p>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9. TEMİNATA İLİŞKİN HÜKÜMLER</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işe ait Kesin Teminat, ihale bedelinin % 10’u  olan ……………..…….,- TL. (………..…………….. Türk Lirası)'dır. Satıcı, Kesin Teminatın tamamını aksi belirtilmedikçe Sözleşmenin imzasından önce verecektir.</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Kesin Teminat işin sözleşme ve eklerinde uygun şekilde kısmen de olsa yerine getirilmemesi durumunda ve Satıcı’nın işin bitiminde kesin hesap sonucu doğabilecek her türlü borçlarını karşılamak için Alıcı tarafından nakitse doğrudan doğruya, değilse nakde çevrilerek işlem görür ve gereken miktar gelir kaydedilir.</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Kesin Teminat, Türkiye’de faaliyette bulunan Bankaların verecekleri, ilk talepte ödenebilecek ve geriye alınamayan, süresiz ve limit içi teminat mektubu, nakit para, devlet tahvili, hazine bonosu şeklinde olabilir.</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Kesin teminatın devlet tahvili ve/veya hazine bonosu olarak verilmesi halinde bunların değerleri KONYA ŞEKER SANAYİ VE TİCARET A.Ş. ’ye teslim tarihlerindeki Resmi Gazetede yayınlanan günkü değerler üzerinden hesaplanır.</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10. AVANS VERİLMESİ ŞARTLARI VE MİKTARI:</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Bu İş için avans verilmeyecektir.</w:t>
      </w:r>
    </w:p>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11. SATICI’NIN SÖZLEŞMENİN İMZALANMASI SIRASINDAKİ SORUMLULUĞU:</w:t>
      </w:r>
    </w:p>
    <w:p w:rsidR="00000000" w:rsidDel="00000000" w:rsidP="00000000" w:rsidRDefault="00000000" w:rsidRPr="00000000" w14:paraId="0000007F">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ab/>
      </w:r>
      <w:r w:rsidDel="00000000" w:rsidR="00000000" w:rsidRPr="00000000">
        <w:rPr>
          <w:rFonts w:ascii="Arial" w:cs="Arial" w:eastAsia="Arial" w:hAnsi="Arial"/>
          <w:sz w:val="22"/>
          <w:szCs w:val="22"/>
          <w:vertAlign w:val="baseline"/>
          <w:rtl w:val="0"/>
        </w:rPr>
        <w:t xml:space="preserve">Satıcı, inşaat demirini, Alıcı tarafından beklenen amacı sağlayacak vasıfları taşıdığını, taşıyacağını inşaat demirinde İş bu sözleşme’de kastedilen tahsis ve kullanma yönü bakımından onun değerini ve elverişliliğini kaldıran ya da azaltan bir eksikliğin bulunmadığını kabul ve taahhüt eder.</w:t>
      </w:r>
    </w:p>
    <w:p w:rsidR="00000000" w:rsidDel="00000000" w:rsidP="00000000" w:rsidRDefault="00000000" w:rsidRPr="00000000" w14:paraId="00000080">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Satıcı vaat edilen veya standardında tespit edilen nitelik ve/veya niceliğine aykırı olan ya da tahsis veya kullanım amacı bakımından değerini veya Alıcı’nın ondan beklediği faydaları azaltan veya ortadan kaldıran maddi, hukuki, ekonomik ve gizli eksikliklerden sorumlu olacağını kabul ve taahhüt eder.</w:t>
      </w:r>
    </w:p>
    <w:p w:rsidR="00000000" w:rsidDel="00000000" w:rsidP="00000000" w:rsidRDefault="00000000" w:rsidRPr="00000000" w14:paraId="0000008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12 – SÖZLEŞMENİN FESHİ:</w:t>
      </w:r>
    </w:p>
    <w:p w:rsidR="00000000" w:rsidDel="00000000" w:rsidP="00000000" w:rsidRDefault="00000000" w:rsidRPr="00000000" w14:paraId="0000008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Satıcı,</w:t>
      </w:r>
    </w:p>
    <w:p w:rsidR="00000000" w:rsidDel="00000000" w:rsidP="00000000" w:rsidRDefault="00000000" w:rsidRPr="00000000" w14:paraId="0000008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Sözleşme’den vazgeçerse veya Sözleşme’nin imzalanmasını takip eden 7 (yedi) gün içerisinde Kesin ve Teminat Mektubunu Alıcı’ya vermezse, ve/veya</w:t>
      </w:r>
    </w:p>
    <w:p w:rsidR="00000000" w:rsidDel="00000000" w:rsidP="00000000" w:rsidRDefault="00000000" w:rsidRPr="00000000" w14:paraId="0000008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Herhangi bir mazeret göstermeden işe Başlama Talimatını takip eden 7 (yedi) gün içerisinde fiilen işlere başlamazsa, ve/veya</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İşyeri’nde yeterli sayıda işçi ve/veya iş makinesi ve ekipman bulundurmazsa, İş’in herhangi bir evresinde geçerli bir nedene dayanmaksızın, 1 (bir) hafta süre ile İşi durdurursa, ve/veya</w:t>
      </w:r>
    </w:p>
    <w:p w:rsidR="00000000" w:rsidDel="00000000" w:rsidP="00000000" w:rsidRDefault="00000000" w:rsidRPr="00000000" w14:paraId="000000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Önceden Alıcı’nın yazılı onayını almadan Sözleşme’yi devir temlik ederse, ve/veya</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Alıcı’nın Sözleşme kapsamında vereceği talimatları yerine getirmezse, ve/veya</w:t>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İnşaat demirini teminini, İş Programı’na göre yürütemediği, verilen hedeflerin tutturulmadıklarının görülmesi, veya tutturulamayacaklarının anlaşılması üzerine kendisine yapılan sözlü ve yazılı uyarılara ve taleplere uymadığında ve neticede inşaat demiri temininin Sözleşme’sine uygun yürütemeyeceğinin ortaya çıkmasında Alıcı’nın kendisine yapacağı yazılı ihtarı takiben 7 (yedi) gün içerisinde ihtarname gereklerini yerine getiremez ve gerekli düzeltici önlemleri almaz ise, ve/veya</w:t>
      </w:r>
    </w:p>
    <w:p w:rsidR="00000000" w:rsidDel="00000000" w:rsidP="00000000" w:rsidRDefault="00000000" w:rsidRPr="00000000" w14:paraId="000000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İnşaat demiri teminini Sözleşme hükümlerine uygun olarak yürütemez veya Sözleşme’de belirtilen yükümlülüklerini ısrarla ve bilerek yerine getirmezse, ve/veya</w:t>
      </w:r>
    </w:p>
    <w:p w:rsidR="00000000" w:rsidDel="00000000" w:rsidP="00000000" w:rsidRDefault="00000000" w:rsidRPr="00000000" w14:paraId="0000008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İflas ederse, iflasını isteyen bir dilekçe verirse, alacaklıları lehine bir anlaşmaya girişirse veya onlar lehine feragat ederse, veya Sözleşme konusu işleri alacaklıları tarafından tayin edilecek bir Denetim Heyetinin kontrolü altında yürütmeyi kabul ederse, (şirketler söz konusu olduğunda) (diğer bir şirketle birleşmek veya yeni bir organizasyon gerçekleştirmek amacıyla alınan gönüllü tasfiye kararları hariç) tasfiye’ye giderse, veya mallarına haciz konursa,</w:t>
      </w:r>
    </w:p>
    <w:p w:rsidR="00000000" w:rsidDel="00000000" w:rsidP="00000000" w:rsidRDefault="00000000" w:rsidRPr="00000000" w14:paraId="0000008D">
      <w:pPr>
        <w:spacing w:line="312" w:lineRule="auto"/>
        <w:ind w:left="567" w:firstLine="0"/>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durumda,</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İş’i süresinde ve Sözleşme’ye uygun olarak bitirip bitiremeyeceğine bakılmaksızın, Alıcı dilerse ek bir süre tanımadan, dilerse bir ihtarname ile münasip bir süre vererek bu süre içerisinde de ihtar edilen hususların yerine getirilmemesi sonucu, Alıcı, sözleşmeyi feshedebilir, tüm zararlarını talep edebilir, işi üçüncü kişilere yaptırarak bedellerini Satıcı’dan tahsil edebilir ve kanunlar nezdinde kullanabileceği diğer tüm haklarını kullanabilir.</w:t>
      </w:r>
    </w:p>
    <w:p w:rsidR="00000000" w:rsidDel="00000000" w:rsidP="00000000" w:rsidRDefault="00000000" w:rsidRPr="00000000" w14:paraId="00000090">
      <w:pPr>
        <w:spacing w:line="312" w:lineRule="auto"/>
        <w:ind w:left="567" w:firstLine="0"/>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Satıcı’nın iflasına karar verilmesi halinde (bu kararın kesinleşmesi beklenilmeksizin); Alıcı tek taraflı olarak Sözleşme’yi sona erdirme ve kesin teminatın tamamını veya bir bölümünü ve varsa tahakkuk etmiş alacakları cezai şart olarak gelir kaydetme hakkına sahiptir.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Alıcı’nın cezai şart olarak tahsil ettiği meblağlar, Alıcı’nın uğradığı zararlara mahsup edilemez. Alıcı’nın uğradığı zararın tazminini talep hakkı devam eder.</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Satıcı’ya ihtarla münasip bir mehil verilmesi halinde, bu mehil, İş’in süresini etkilemeyeceği gibi cezaların ve cezai şartların uygulanmasını da engellemez.</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Alıcı’nın, aynen ifadan vazgeçerek oluşan tüm zararını talep etmesi veya Sözleşme’yi herhangi bir sebeple sona erdirmesi halinde, Alıcı tarafından tayin edilecek bir komisyon tarafından Satıcı’nın de davet edileceği bir tarihte İşyeri’nde yapılacak inceleme sonucu; Sözleşme’ye uygun yapılan, Sözleşme’ye dahil olup da henüz yapılmamış ve yapılmış olmakla birlikte Sözleşme’ye uygun olmayan işler tespit edilir. Satıcı incelemede hazır bulunmaz ise Alıcı incelemeyi re’sen sonuçlandırır. Satıcı hazır bulunsun veya bulunmasın inceleme sonucunda düzenlenen tutanak Satıcı için kesin delil oluşturur.</w:t>
      </w:r>
    </w:p>
    <w:p w:rsidR="00000000" w:rsidDel="00000000" w:rsidP="00000000" w:rsidRDefault="00000000" w:rsidRPr="00000000" w14:paraId="00000098">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13. ANLAŞMAZLIK HALİ:</w:t>
      </w:r>
    </w:p>
    <w:p w:rsidR="00000000" w:rsidDel="00000000" w:rsidP="00000000" w:rsidRDefault="00000000" w:rsidRPr="00000000" w14:paraId="00000099">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İşbu Sözleşme’de belirtilen işlerde, taraflar arasında ortaya çıkacak uyuşmazlıkların çözümünde Konya Mahkemeleri ve Konya İcra Daireleri yetkilidir.</w:t>
      </w:r>
    </w:p>
    <w:p w:rsidR="00000000" w:rsidDel="00000000" w:rsidP="00000000" w:rsidRDefault="00000000" w:rsidRPr="00000000" w14:paraId="0000009A">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14. İHBAR VE BİLDİRİM USULLERİ:</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Taraflar, Sözleşme’deki hak ve yükümlülüklerin yerine getirilmesi, ödemeler vb. konulardaki tüm bildirimlerini karşı tarafa yazılı olarak bildirecektir. Yazılı bildirim, faks iletisi, posta, iadeli taahhütlü ve/veya noter kanalıyla yapılabilecektir.</w:t>
      </w:r>
    </w:p>
    <w:p w:rsidR="00000000" w:rsidDel="00000000" w:rsidP="00000000" w:rsidRDefault="00000000" w:rsidRPr="00000000" w14:paraId="0000009C">
      <w:pPr>
        <w:shd w:fill="ffffff" w:val="clear"/>
        <w:spacing w:line="276" w:lineRule="auto"/>
        <w:jc w:val="both"/>
        <w:rPr>
          <w:rFonts w:ascii="Arial" w:cs="Arial" w:eastAsia="Arial" w:hAnsi="Arial"/>
          <w:color w:val="000000"/>
          <w:sz w:val="6"/>
          <w:szCs w:val="6"/>
          <w:vertAlign w:val="baseline"/>
        </w:rPr>
      </w:pPr>
      <w:bookmarkStart w:colFirst="0" w:colLast="0" w:name="_heading=h.30j0zll" w:id="1"/>
      <w:bookmarkEnd w:id="1"/>
      <w:r w:rsidDel="00000000" w:rsidR="00000000" w:rsidRPr="00000000">
        <w:rPr>
          <w:rFonts w:ascii="Arial" w:cs="Arial" w:eastAsia="Arial" w:hAnsi="Arial"/>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09D">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15. SÖZLEŞMENİN DEVRİ  </w:t>
      </w:r>
    </w:p>
    <w:p w:rsidR="00000000" w:rsidDel="00000000" w:rsidP="00000000" w:rsidRDefault="00000000" w:rsidRPr="00000000" w14:paraId="0000009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Satıcı, Alıcı’nın yazılı izni olmadan, Sözleşmenin bir kısmını ve/veya tamamını, ya da Sözleşmedeki ve/veya Sözleşmeden doğacak bir menfaat ya da kazancı devredemez.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Satıcı bu İş’le ilgili alacaklarını Alıcı’nın izni olmadan temlik edemez. İşi vekalet ile idare edemez ve/veya ortaklık yapısını değiştiremez. Bu hususlara aykırı hareket halinde, Alıcı Sözleşme’nin fesih maddesini uygulayabilir.</w:t>
      </w:r>
    </w:p>
    <w:p w:rsidR="00000000" w:rsidDel="00000000" w:rsidP="00000000" w:rsidRDefault="00000000" w:rsidRPr="00000000" w14:paraId="000000A4">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16. İHTİLAFLARIN HALİ </w:t>
      </w:r>
    </w:p>
    <w:p w:rsidR="00000000" w:rsidDel="00000000" w:rsidP="00000000" w:rsidRDefault="00000000" w:rsidRPr="00000000" w14:paraId="000000A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KONYA ŞEKER SANAYİ VE TİCARET A.Ş. ve Satıcı arasında bu Sözleşme’nin uygulanması sırasında doğabilecek anlaşmazlıkla Konya Mahkemeleri ve İcra Müdürlüklerince çözülecektir.</w:t>
      </w:r>
    </w:p>
    <w:p w:rsidR="00000000" w:rsidDel="00000000" w:rsidP="00000000" w:rsidRDefault="00000000" w:rsidRPr="00000000" w14:paraId="000000A7">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17. SÖZLEŞME VE EKLERİ ARASINDA BULUNMAYAN HUSUSLAR  </w:t>
      </w:r>
    </w:p>
    <w:p w:rsidR="00000000" w:rsidDel="00000000" w:rsidP="00000000" w:rsidRDefault="00000000" w:rsidRPr="00000000" w14:paraId="000000A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Sözleşme ve eklerinde bulunmayan maddeler için ilgili yasa ve uygulamalardaki hükümler ve teamüller geçerlidir.</w:t>
      </w:r>
    </w:p>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18. YÜRÜRLÜK</w:t>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Bu sözleşme taraflarca imzalandığı tarihte yürürlüğe girer.</w:t>
      </w:r>
    </w:p>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19. SÖZLEŞMENİN SÜRESİ</w:t>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İş bu sözleşme imza tarihinden itibaren 1 yıl süre ile geçerlidir.</w:t>
      </w:r>
    </w:p>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2126" w:right="0" w:hanging="212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20.  SÖZLEŞMENİN İMZALANMASI</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Bu sözleşme .................. maddeden ve ……. Sayfadan oluşmakta olup,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Alıcı</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Satıcı</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tarafından tam olarak okunup anlaşıldıktan sonra …./.…/……. tarihinde serbest iradeleri ile bir nüsha olarak imza altına alınmıştır.</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spacing w:line="276" w:lineRule="auto"/>
        <w:jc w:val="both"/>
        <w:rPr>
          <w:rFonts w:ascii="Arial" w:cs="Arial" w:eastAsia="Arial" w:hAnsi="Arial"/>
          <w:sz w:val="22"/>
          <w:szCs w:val="22"/>
          <w:vertAlign w:val="baseline"/>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wp:posOffset>
                </wp:positionH>
                <wp:positionV relativeFrom="paragraph">
                  <wp:posOffset>33021</wp:posOffset>
                </wp:positionV>
                <wp:extent cx="2101850" cy="720090"/>
                <wp:effectExtent b="0" l="0" r="0" t="0"/>
                <wp:wrapSquare wrapText="bothSides" distB="45720" distT="45720" distL="114300" distR="114300"/>
                <wp:docPr id="4" name=""/>
                <a:graphic>
                  <a:graphicData uri="http://schemas.microsoft.com/office/word/2010/wordprocessingShape">
                    <wps:wsp>
                      <wps:cNvSpPr/>
                      <wps:cNvPr id="3" name="Shape 3"/>
                      <wps:spPr>
                        <a:xfrm>
                          <a:off x="4304600" y="3429480"/>
                          <a:ext cx="2082800" cy="70104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t xml:space="preserve">YÜKLENİCİ</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r>
                            <w:r w:rsidDel="00000000" w:rsidR="00000000" w:rsidRPr="00000000">
                              <w:rPr>
                                <w:rFonts w:ascii="Arial" w:cs="Arial" w:eastAsia="Arial" w:hAnsi="Arial"/>
                                <w:b w:val="1"/>
                                <w:i w:val="0"/>
                                <w:smallCaps w:val="0"/>
                                <w:strike w:val="0"/>
                                <w:color w:val="000000"/>
                                <w:sz w:val="28"/>
                                <w:highlight w:val="yellow"/>
                                <w:vertAlign w:val="baseline"/>
                              </w:rPr>
                              <w:t xml:space="preserv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8"/>
                                <w:highlight w:val="yellow"/>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wp:posOffset>
                </wp:positionH>
                <wp:positionV relativeFrom="paragraph">
                  <wp:posOffset>33021</wp:posOffset>
                </wp:positionV>
                <wp:extent cx="2101850" cy="720090"/>
                <wp:effectExtent b="0" l="0" r="0" t="0"/>
                <wp:wrapSquare wrapText="bothSides" distB="45720" distT="45720" distL="114300" distR="114300"/>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101850" cy="720090"/>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4025900</wp:posOffset>
                </wp:positionH>
                <wp:positionV relativeFrom="paragraph">
                  <wp:posOffset>45720</wp:posOffset>
                </wp:positionV>
                <wp:extent cx="2030730" cy="750570"/>
                <wp:effectExtent b="0" l="0" r="0" t="0"/>
                <wp:wrapSquare wrapText="bothSides" distB="45720" distT="45720" distL="114300" distR="114300"/>
                <wp:docPr id="3" name=""/>
                <a:graphic>
                  <a:graphicData uri="http://schemas.microsoft.com/office/word/2010/wordprocessingShape">
                    <wps:wsp>
                      <wps:cNvSpPr/>
                      <wps:cNvPr id="2" name="Shape 2"/>
                      <wps:spPr>
                        <a:xfrm>
                          <a:off x="4340160" y="3414240"/>
                          <a:ext cx="2011680" cy="73152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t xml:space="preserve">ALICI</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r>
                            <w:r w:rsidDel="00000000" w:rsidR="00000000" w:rsidRPr="00000000">
                              <w:rPr>
                                <w:rFonts w:ascii="Arial" w:cs="Arial" w:eastAsia="Arial" w:hAnsi="Arial"/>
                                <w:b w:val="1"/>
                                <w:i w:val="0"/>
                                <w:smallCaps w:val="0"/>
                                <w:strike w:val="0"/>
                                <w:color w:val="000000"/>
                                <w:sz w:val="24"/>
                                <w:vertAlign w:val="baseline"/>
                              </w:rPr>
                              <w:t xml:space="preserve">KONYA ŞEKER SANAYİ VE TİCARET A.Ş.</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4025900</wp:posOffset>
                </wp:positionH>
                <wp:positionV relativeFrom="paragraph">
                  <wp:posOffset>45720</wp:posOffset>
                </wp:positionV>
                <wp:extent cx="2030730" cy="750570"/>
                <wp:effectExtent b="0" l="0" r="0" t="0"/>
                <wp:wrapSquare wrapText="bothSides" distB="45720" distT="45720" distL="114300" distR="114300"/>
                <wp:docPr id="3"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2030730" cy="750570"/>
                        </a:xfrm>
                        <a:prstGeom prst="rect"/>
                        <a:ln/>
                      </pic:spPr>
                    </pic:pic>
                  </a:graphicData>
                </a:graphic>
              </wp:anchor>
            </w:drawing>
          </mc:Fallback>
        </mc:AlternateContent>
      </w:r>
    </w:p>
    <w:p w:rsidR="00000000" w:rsidDel="00000000" w:rsidP="00000000" w:rsidRDefault="00000000" w:rsidRPr="00000000" w14:paraId="000000C8">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9">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A">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r>
    </w:p>
    <w:p w:rsidR="00000000" w:rsidDel="00000000" w:rsidP="00000000" w:rsidRDefault="00000000" w:rsidRPr="00000000" w14:paraId="000000CB">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C">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D">
      <w:pPr>
        <w:spacing w:line="276" w:lineRule="auto"/>
        <w:ind w:left="720" w:firstLine="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E">
      <w:pPr>
        <w:spacing w:line="276" w:lineRule="auto"/>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CF">
      <w:pPr>
        <w:spacing w:line="276" w:lineRule="auto"/>
        <w:jc w:val="both"/>
        <w:rPr>
          <w:rFonts w:ascii="Arial" w:cs="Arial" w:eastAsia="Arial" w:hAnsi="Arial"/>
          <w:sz w:val="22"/>
          <w:szCs w:val="22"/>
          <w:vertAlign w:val="baseline"/>
        </w:rPr>
      </w:pPr>
      <w:r w:rsidDel="00000000" w:rsidR="00000000" w:rsidRPr="00000000">
        <w:rPr>
          <w:rtl w:val="0"/>
        </w:rPr>
      </w:r>
    </w:p>
    <w:sectPr>
      <w:headerReference r:id="rId9" w:type="default"/>
      <w:footerReference r:id="rId10" w:type="default"/>
      <w:footerReference r:id="rId11" w:type="even"/>
      <w:pgSz w:h="16838" w:w="11906" w:orient="portrait"/>
      <w:pgMar w:bottom="1417" w:top="1620" w:left="1260" w:right="1106" w:header="426"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ÇUMRA ŞEKER ENTEGRE TESİSLERİ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rtl w:val="0"/>
      </w:rPr>
      <w:t xml:space="preserve">DİFÜZYON YATIRIMI İNŞAAT İŞLERİ İÇİN </w:t>
    </w: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İNŞAAT DEMİRİ  </w:t>
    </w:r>
    <w:r w:rsidDel="00000000" w:rsidR="00000000" w:rsidRPr="00000000">
      <w:rPr>
        <w:rFonts w:ascii="Arial" w:cs="Arial" w:eastAsia="Arial" w:hAnsi="Arial"/>
        <w:b w:val="1"/>
        <w:rtl w:val="0"/>
      </w:rPr>
      <w:t xml:space="preserve">ALIM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İŞLERİ</w:t>
    </w: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SÖZLEŞME</w:t>
    </w: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Madde %1."/>
      <w:lvlJc w:val="left"/>
      <w:pPr>
        <w:ind w:left="510" w:hanging="510"/>
      </w:pPr>
      <w:rPr>
        <w:b w:val="1"/>
        <w:i w:val="0"/>
        <w:color w:val="000000"/>
        <w:sz w:val="24"/>
        <w:szCs w:val="24"/>
        <w:vertAlign w:val="baseline"/>
      </w:rPr>
    </w:lvl>
    <w:lvl w:ilvl="1">
      <w:start w:val="1"/>
      <w:numFmt w:val="decimal"/>
      <w:lvlText w:val="%1.%2."/>
      <w:lvlJc w:val="left"/>
      <w:pPr>
        <w:ind w:left="720" w:hanging="720"/>
      </w:pPr>
      <w:rPr>
        <w:b w:val="1"/>
        <w:i w:val="0"/>
        <w:color w:val="000000"/>
        <w:vertAlign w:val="baseline"/>
      </w:rPr>
    </w:lvl>
    <w:lvl w:ilvl="2">
      <w:start w:val="1"/>
      <w:numFmt w:val="decimal"/>
      <w:lvlText w:val="%1.%2.%3."/>
      <w:lvlJc w:val="left"/>
      <w:pPr>
        <w:ind w:left="720" w:hanging="720"/>
      </w:pPr>
      <w:rPr>
        <w:b w:val="1"/>
        <w:color w:val="000000"/>
        <w:vertAlign w:val="baseline"/>
      </w:rPr>
    </w:lvl>
    <w:lvl w:ilvl="3">
      <w:start w:val="1"/>
      <w:numFmt w:val="decimal"/>
      <w:lvlText w:val="%1.%2.%3.%4."/>
      <w:lvlJc w:val="left"/>
      <w:pPr>
        <w:ind w:left="1080" w:hanging="1080"/>
      </w:pPr>
      <w:rPr>
        <w:b w:val="1"/>
        <w:vertAlign w:val="baseline"/>
      </w:rPr>
    </w:lvl>
    <w:lvl w:ilvl="4">
      <w:start w:val="1"/>
      <w:numFmt w:val="decimal"/>
      <w:lvlText w:val="%1.%2.%3.%4.%5."/>
      <w:lvlJc w:val="left"/>
      <w:pPr>
        <w:ind w:left="1080" w:hanging="1080"/>
      </w:pPr>
      <w:rPr>
        <w:b w:val="1"/>
        <w:vertAlign w:val="baseline"/>
      </w:rPr>
    </w:lvl>
    <w:lvl w:ilvl="5">
      <w:start w:val="1"/>
      <w:numFmt w:val="decimal"/>
      <w:lvlText w:val="%1.%2.%3.%4.%5.%6."/>
      <w:lvlJc w:val="left"/>
      <w:pPr>
        <w:ind w:left="1440" w:hanging="1440"/>
      </w:pPr>
      <w:rPr>
        <w:b w:val="1"/>
        <w:vertAlign w:val="baseline"/>
      </w:rPr>
    </w:lvl>
    <w:lvl w:ilvl="6">
      <w:start w:val="1"/>
      <w:numFmt w:val="decimal"/>
      <w:lvlText w:val="%1.%2.%3.%4.%5.%6.%7."/>
      <w:lvlJc w:val="left"/>
      <w:pPr>
        <w:ind w:left="1440" w:hanging="1440"/>
      </w:pPr>
      <w:rPr>
        <w:b w:val="1"/>
        <w:vertAlign w:val="baseline"/>
      </w:rPr>
    </w:lvl>
    <w:lvl w:ilvl="7">
      <w:start w:val="1"/>
      <w:numFmt w:val="decimal"/>
      <w:lvlText w:val="%1.%2.%3.%4.%5.%6.%7.%8."/>
      <w:lvlJc w:val="left"/>
      <w:pPr>
        <w:ind w:left="1800" w:hanging="1800"/>
      </w:pPr>
      <w:rPr>
        <w:b w:val="1"/>
        <w:vertAlign w:val="baseline"/>
      </w:rPr>
    </w:lvl>
    <w:lvl w:ilvl="8">
      <w:start w:val="1"/>
      <w:numFmt w:val="decimal"/>
      <w:lvlText w:val="%1.%2.%3.%4.%5.%6.%7.%8.%9."/>
      <w:lvlJc w:val="left"/>
      <w:pPr>
        <w:ind w:left="2160" w:hanging="2160"/>
      </w:pPr>
      <w:rPr>
        <w:b w:val="1"/>
        <w:vertAlign w:val="baseline"/>
      </w:rPr>
    </w:lvl>
  </w:abstractNum>
  <w:abstractNum w:abstractNumId="2">
    <w:lvl w:ilvl="0">
      <w:start w:val="1"/>
      <w:numFmt w:val="lowerLetter"/>
      <w:lvlText w:val="%1)"/>
      <w:lvlJc w:val="left"/>
      <w:pPr>
        <w:ind w:left="1065" w:hanging="360"/>
      </w:pPr>
      <w:rPr>
        <w:vertAlign w:val="baseline"/>
      </w:rPr>
    </w:lvl>
    <w:lvl w:ilvl="1">
      <w:start w:val="1"/>
      <w:numFmt w:val="lowerLetter"/>
      <w:lvlText w:val="%2."/>
      <w:lvlJc w:val="left"/>
      <w:pPr>
        <w:ind w:left="1785" w:hanging="360"/>
      </w:pPr>
      <w:rPr>
        <w:vertAlign w:val="baseline"/>
      </w:rPr>
    </w:lvl>
    <w:lvl w:ilvl="2">
      <w:start w:val="1"/>
      <w:numFmt w:val="lowerRoman"/>
      <w:lvlText w:val="%3."/>
      <w:lvlJc w:val="right"/>
      <w:pPr>
        <w:ind w:left="2505" w:hanging="180"/>
      </w:pPr>
      <w:rPr>
        <w:vertAlign w:val="baseline"/>
      </w:rPr>
    </w:lvl>
    <w:lvl w:ilvl="3">
      <w:start w:val="1"/>
      <w:numFmt w:val="decimal"/>
      <w:lvlText w:val="%4."/>
      <w:lvlJc w:val="left"/>
      <w:pPr>
        <w:ind w:left="3225" w:hanging="360"/>
      </w:pPr>
      <w:rPr>
        <w:vertAlign w:val="baseline"/>
      </w:rPr>
    </w:lvl>
    <w:lvl w:ilvl="4">
      <w:start w:val="1"/>
      <w:numFmt w:val="lowerLetter"/>
      <w:lvlText w:val="%5."/>
      <w:lvlJc w:val="left"/>
      <w:pPr>
        <w:ind w:left="3945" w:hanging="360"/>
      </w:pPr>
      <w:rPr>
        <w:vertAlign w:val="baseline"/>
      </w:rPr>
    </w:lvl>
    <w:lvl w:ilvl="5">
      <w:start w:val="1"/>
      <w:numFmt w:val="lowerRoman"/>
      <w:lvlText w:val="%6."/>
      <w:lvlJc w:val="right"/>
      <w:pPr>
        <w:ind w:left="4665" w:hanging="180"/>
      </w:pPr>
      <w:rPr>
        <w:vertAlign w:val="baseline"/>
      </w:rPr>
    </w:lvl>
    <w:lvl w:ilvl="6">
      <w:start w:val="1"/>
      <w:numFmt w:val="decimal"/>
      <w:lvlText w:val="%7."/>
      <w:lvlJc w:val="left"/>
      <w:pPr>
        <w:ind w:left="5385" w:hanging="360"/>
      </w:pPr>
      <w:rPr>
        <w:vertAlign w:val="baseline"/>
      </w:rPr>
    </w:lvl>
    <w:lvl w:ilvl="7">
      <w:start w:val="1"/>
      <w:numFmt w:val="lowerLetter"/>
      <w:lvlText w:val="%8."/>
      <w:lvlJc w:val="left"/>
      <w:pPr>
        <w:ind w:left="6105" w:hanging="360"/>
      </w:pPr>
      <w:rPr>
        <w:vertAlign w:val="baseline"/>
      </w:rPr>
    </w:lvl>
    <w:lvl w:ilvl="8">
      <w:start w:val="1"/>
      <w:numFmt w:val="lowerRoman"/>
      <w:lvlText w:val="%9."/>
      <w:lvlJc w:val="right"/>
      <w:pPr>
        <w:ind w:left="6825" w:hanging="180"/>
      </w:pPr>
      <w:rPr>
        <w:vertAlign w:val="baseline"/>
      </w:rPr>
    </w:lvl>
  </w:abstractNum>
  <w:abstractNum w:abstractNumId="3">
    <w:lvl w:ilvl="0">
      <w:start w:val="4"/>
      <w:numFmt w:val="decimal"/>
      <w:lvlText w:val="%1."/>
      <w:lvlJc w:val="left"/>
      <w:pPr>
        <w:ind w:left="360" w:hanging="360"/>
      </w:pPr>
      <w:rPr>
        <w:vertAlign w:val="baseline"/>
      </w:rPr>
    </w:lvl>
    <w:lvl w:ilvl="1">
      <w:start w:val="1"/>
      <w:numFmt w:val="decimal"/>
      <w:lvlText w:val="%1.%2."/>
      <w:lvlJc w:val="left"/>
      <w:pPr>
        <w:ind w:left="1429" w:hanging="720"/>
      </w:pPr>
      <w:rPr>
        <w:b w:val="1"/>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3207" w:hanging="1080"/>
      </w:pPr>
      <w:rPr>
        <w:vertAlign w:val="baseline"/>
      </w:rPr>
    </w:lvl>
    <w:lvl w:ilvl="4">
      <w:start w:val="1"/>
      <w:numFmt w:val="decimal"/>
      <w:lvlText w:val="%1.%2.%3.%4.%5."/>
      <w:lvlJc w:val="left"/>
      <w:pPr>
        <w:ind w:left="3916" w:hanging="1080"/>
      </w:pPr>
      <w:rPr>
        <w:vertAlign w:val="baseline"/>
      </w:rPr>
    </w:lvl>
    <w:lvl w:ilvl="5">
      <w:start w:val="1"/>
      <w:numFmt w:val="decimal"/>
      <w:lvlText w:val="%1.%2.%3.%4.%5.%6."/>
      <w:lvlJc w:val="left"/>
      <w:pPr>
        <w:ind w:left="4985" w:hanging="1440"/>
      </w:pPr>
      <w:rPr>
        <w:vertAlign w:val="baseline"/>
      </w:rPr>
    </w:lvl>
    <w:lvl w:ilvl="6">
      <w:start w:val="1"/>
      <w:numFmt w:val="decimal"/>
      <w:lvlText w:val="%1.%2.%3.%4.%5.%6.%7."/>
      <w:lvlJc w:val="left"/>
      <w:pPr>
        <w:ind w:left="5694" w:hanging="1440"/>
      </w:pPr>
      <w:rPr>
        <w:vertAlign w:val="baseline"/>
      </w:rPr>
    </w:lvl>
    <w:lvl w:ilvl="7">
      <w:start w:val="1"/>
      <w:numFmt w:val="decimal"/>
      <w:lvlText w:val="%1.%2.%3.%4.%5.%6.%7.%8."/>
      <w:lvlJc w:val="left"/>
      <w:pPr>
        <w:ind w:left="6763" w:hanging="1800"/>
      </w:pPr>
      <w:rPr>
        <w:vertAlign w:val="baseline"/>
      </w:rPr>
    </w:lvl>
    <w:lvl w:ilvl="8">
      <w:start w:val="1"/>
      <w:numFmt w:val="decimal"/>
      <w:lvlText w:val="%1.%2.%3.%4.%5.%6.%7.%8.%9."/>
      <w:lvlJc w:val="left"/>
      <w:pPr>
        <w:ind w:left="7472" w:hanging="1800"/>
      </w:pPr>
      <w:rPr>
        <w:vertAlign w:val="baseline"/>
      </w:rPr>
    </w:lvl>
  </w:abstractNum>
  <w:abstractNum w:abstractNumId="4">
    <w:lvl w:ilvl="0">
      <w:start w:val="3"/>
      <w:numFmt w:val="decimal"/>
      <w:lvlText w:val="%1."/>
      <w:lvlJc w:val="left"/>
      <w:pPr>
        <w:ind w:left="360" w:hanging="360"/>
      </w:pPr>
      <w:rPr>
        <w:vertAlign w:val="baseline"/>
      </w:rPr>
    </w:lvl>
    <w:lvl w:ilvl="1">
      <w:start w:val="1"/>
      <w:numFmt w:val="decimal"/>
      <w:lvlText w:val="%1.%2."/>
      <w:lvlJc w:val="left"/>
      <w:pPr>
        <w:ind w:left="720" w:hanging="72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5">
    <w:lvl w:ilvl="0">
      <w:start w:val="2"/>
      <w:numFmt w:val="decimal"/>
      <w:lvlText w:val="%1."/>
      <w:lvlJc w:val="left"/>
      <w:pPr>
        <w:ind w:left="360" w:hanging="360"/>
      </w:pPr>
      <w:rPr>
        <w:vertAlign w:val="baseline"/>
      </w:rPr>
    </w:lvl>
    <w:lvl w:ilvl="1">
      <w:start w:val="1"/>
      <w:numFmt w:val="decimal"/>
      <w:lvlText w:val="%1.%2."/>
      <w:lvlJc w:val="left"/>
      <w:pPr>
        <w:ind w:left="720" w:hanging="72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Başlık1">
    <w:name w:val="Başlık 1"/>
    <w:basedOn w:val="Normal"/>
    <w:next w:val="Normal"/>
    <w:autoRedefine w:val="0"/>
    <w:hidden w:val="0"/>
    <w:qFormat w:val="0"/>
    <w:pPr>
      <w:keepNext w:val="1"/>
      <w:suppressAutoHyphens w:val="1"/>
      <w:spacing w:after="60" w:before="240" w:line="1" w:lineRule="atLeast"/>
      <w:ind w:leftChars="-1" w:rightChars="0" w:firstLineChars="-1"/>
      <w:textDirection w:val="btLr"/>
      <w:textAlignment w:val="top"/>
      <w:outlineLvl w:val="0"/>
    </w:pPr>
    <w:rPr>
      <w:rFonts w:ascii="Calibri Light" w:cs="Times New Roman" w:eastAsia="Times New Roman" w:hAnsi="Calibri Light"/>
      <w:b w:val="1"/>
      <w:bCs w:val="1"/>
      <w:w w:val="100"/>
      <w:kern w:val="32"/>
      <w:position w:val="-1"/>
      <w:sz w:val="32"/>
      <w:szCs w:val="3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0"/>
    <w:rPr>
      <w:w w:val="100"/>
      <w:position w:val="-1"/>
      <w:effect w:val="none"/>
      <w:vertAlign w:val="baseline"/>
      <w:cs w:val="0"/>
      <w:em w:val="none"/>
      <w:lang/>
    </w:rPr>
  </w:style>
  <w:style w:type="table" w:styleId="NormalTablo">
    <w:name w:val="Normal Tablo"/>
    <w:next w:val="NormalTablo"/>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0"/>
    <w:pPr>
      <w:suppressAutoHyphens w:val="1"/>
      <w:spacing w:line="1" w:lineRule="atLeast"/>
      <w:ind w:leftChars="-1" w:rightChars="0" w:firstLineChars="-1"/>
      <w:textDirection w:val="btLr"/>
      <w:textAlignment w:val="top"/>
      <w:outlineLvl w:val="0"/>
    </w:pPr>
  </w:style>
  <w:style w:type="table" w:styleId="TabloKılavuzu">
    <w:name w:val="Tablo Kılavuzu"/>
    <w:basedOn w:val="NormalTablo"/>
    <w:next w:val="TabloKılavuzu"/>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oKılavuzu"/>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övdeMetni">
    <w:name w:val="Gövde Metni"/>
    <w:basedOn w:val="Normal"/>
    <w:next w:val="GövdeMetni"/>
    <w:autoRedefine w:val="0"/>
    <w:hidden w:val="0"/>
    <w:qFormat w:val="0"/>
    <w:pPr>
      <w:shd w:color="auto" w:fill="ffffff" w:val="clear"/>
      <w:suppressAutoHyphens w:val="1"/>
      <w:autoSpaceDE w:val="0"/>
      <w:autoSpaceDN w:val="0"/>
      <w:adjustRightInd w:val="0"/>
      <w:spacing w:line="1" w:lineRule="atLeast"/>
      <w:ind w:leftChars="-1" w:rightChars="0" w:firstLineChars="-1"/>
      <w:jc w:val="both"/>
      <w:textDirection w:val="btLr"/>
      <w:textAlignment w:val="top"/>
      <w:outlineLvl w:val="0"/>
    </w:pPr>
    <w:rPr>
      <w:color w:val="000000"/>
      <w:w w:val="100"/>
      <w:position w:val="-1"/>
      <w:sz w:val="24"/>
      <w:szCs w:val="24"/>
      <w:effect w:val="none"/>
      <w:vertAlign w:val="baseline"/>
      <w:cs w:val="0"/>
      <w:em w:val="none"/>
      <w:lang w:bidi="ar-SA" w:eastAsia="tr-TR" w:val="tr-TR"/>
    </w:rPr>
  </w:style>
  <w:style w:type="paragraph" w:styleId="GövdeMetni3">
    <w:name w:val="Gövde Metni 3"/>
    <w:basedOn w:val="Normal"/>
    <w:next w:val="GövdeMetni3"/>
    <w:autoRedefine w:val="0"/>
    <w:hidden w:val="0"/>
    <w:qFormat w:val="0"/>
    <w:pPr>
      <w:shd w:color="auto" w:fill="ffffff" w:val="clear"/>
      <w:suppressAutoHyphens w:val="1"/>
      <w:autoSpaceDE w:val="0"/>
      <w:autoSpaceDN w:val="0"/>
      <w:adjustRightInd w:val="0"/>
      <w:spacing w:line="1" w:lineRule="atLeast"/>
      <w:ind w:leftChars="-1" w:rightChars="0" w:firstLineChars="-1"/>
      <w:jc w:val="both"/>
      <w:textDirection w:val="btLr"/>
      <w:textAlignment w:val="top"/>
      <w:outlineLvl w:val="0"/>
    </w:pPr>
    <w:rPr>
      <w:color w:val="000000"/>
      <w:w w:val="100"/>
      <w:position w:val="-1"/>
      <w:sz w:val="22"/>
      <w:szCs w:val="24"/>
      <w:effect w:val="none"/>
      <w:vertAlign w:val="baseline"/>
      <w:cs w:val="0"/>
      <w:em w:val="none"/>
      <w:lang w:bidi="ar-SA" w:eastAsia="tr-TR" w:val="tr-TR"/>
    </w:rPr>
  </w:style>
  <w:style w:type="paragraph" w:styleId="Altbilgi">
    <w:name w:val="Altbilgi"/>
    <w:basedOn w:val="Normal"/>
    <w:next w:val="Altbilgi"/>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character" w:styleId="SayfaNumarası">
    <w:name w:val="Sayfa Numarası"/>
    <w:basedOn w:val="VarsayılanParagrafYazıTipi"/>
    <w:next w:val="SayfaNumarası"/>
    <w:autoRedefine w:val="0"/>
    <w:hidden w:val="0"/>
    <w:qFormat w:val="0"/>
    <w:rPr>
      <w:w w:val="100"/>
      <w:position w:val="-1"/>
      <w:effect w:val="none"/>
      <w:vertAlign w:val="baseline"/>
      <w:cs w:val="0"/>
      <w:em w:val="none"/>
      <w:lang/>
    </w:rPr>
  </w:style>
  <w:style w:type="paragraph" w:styleId="Üstbilgi">
    <w:name w:val="Üstbilgi"/>
    <w:basedOn w:val="Normal"/>
    <w:next w:val="Üstbilgi"/>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BalonMetni">
    <w:name w:val="Balon Metni"/>
    <w:basedOn w:val="Normal"/>
    <w:next w:val="BalonMetni"/>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BalonMetniChar">
    <w:name w:val="Balon Metni Char"/>
    <w:next w:val="BalonMetniChar"/>
    <w:autoRedefine w:val="0"/>
    <w:hidden w:val="0"/>
    <w:qFormat w:val="0"/>
    <w:rPr>
      <w:rFonts w:ascii="Tahoma" w:cs="Tahoma" w:hAnsi="Tahoma"/>
      <w:w w:val="100"/>
      <w:position w:val="-1"/>
      <w:sz w:val="16"/>
      <w:szCs w:val="16"/>
      <w:effect w:val="none"/>
      <w:vertAlign w:val="baseline"/>
      <w:cs w:val="0"/>
      <w:em w:val="none"/>
      <w:lang/>
    </w:rPr>
  </w:style>
  <w:style w:type="character" w:styleId="ÜstbilgiChar">
    <w:name w:val="Üstbilgi Char"/>
    <w:next w:val="ÜstbilgiChar"/>
    <w:autoRedefine w:val="0"/>
    <w:hidden w:val="0"/>
    <w:qFormat w:val="0"/>
    <w:rPr>
      <w:w w:val="100"/>
      <w:position w:val="-1"/>
      <w:sz w:val="24"/>
      <w:szCs w:val="24"/>
      <w:effect w:val="none"/>
      <w:vertAlign w:val="baseline"/>
      <w:cs w:val="0"/>
      <w:em w:val="none"/>
      <w:lang/>
    </w:rPr>
  </w:style>
  <w:style w:type="paragraph" w:styleId="ListeParagraf">
    <w:name w:val="Liste Paragraf"/>
    <w:basedOn w:val="Normal"/>
    <w:next w:val="ListeParagraf"/>
    <w:autoRedefine w:val="0"/>
    <w:hidden w:val="0"/>
    <w:qFormat w:val="0"/>
    <w:pPr>
      <w:suppressAutoHyphens w:val="1"/>
      <w:spacing w:after="200" w:line="276" w:lineRule="auto"/>
      <w:ind w:left="708"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tr-TR" w:val="tr-TR"/>
    </w:rPr>
  </w:style>
  <w:style w:type="character" w:styleId="ListeParagrafChar">
    <w:name w:val="Liste Paragraf Char"/>
    <w:next w:val="ListeParagrafChar"/>
    <w:autoRedefine w:val="0"/>
    <w:hidden w:val="0"/>
    <w:qFormat w:val="0"/>
    <w:rPr>
      <w:rFonts w:ascii="Calibri" w:hAnsi="Calibri"/>
      <w:w w:val="100"/>
      <w:position w:val="-1"/>
      <w:sz w:val="22"/>
      <w:szCs w:val="22"/>
      <w:effect w:val="none"/>
      <w:vertAlign w:val="baseline"/>
      <w:cs w:val="0"/>
      <w:em w:val="none"/>
      <w:lang/>
    </w:rPr>
  </w:style>
  <w:style w:type="character" w:styleId="Başlık1Char">
    <w:name w:val="Başlık 1 Char"/>
    <w:next w:val="Başlık1Char"/>
    <w:autoRedefine w:val="0"/>
    <w:hidden w:val="0"/>
    <w:qFormat w:val="0"/>
    <w:rPr>
      <w:rFonts w:ascii="Calibri Light" w:cs="Times New Roman" w:eastAsia="Times New Roman" w:hAnsi="Calibri Light"/>
      <w:b w:val="1"/>
      <w:bCs w:val="1"/>
      <w:w w:val="100"/>
      <w:kern w:val="32"/>
      <w:position w:val="-1"/>
      <w:sz w:val="32"/>
      <w:szCs w:val="32"/>
      <w:effect w:val="none"/>
      <w:vertAlign w:val="baseline"/>
      <w:cs w:val="0"/>
      <w:em w:val="none"/>
      <w:lang/>
    </w:rPr>
  </w:style>
  <w:style w:type="paragraph" w:styleId="DipnotMetni,DipnotMetniCharCharChar,DipnotMetniCharChar">
    <w:name w:val="Dipnot Metni,Dipnot Metni Char Char Char,Dipnot Metni Char Char"/>
    <w:basedOn w:val="Normal"/>
    <w:next w:val="DipnotMetni,DipnotMetniCharCharChar,DipnotMetniCharChar"/>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DipnotMetniChar,DipnotMetniCharCharCharChar,DipnotMetniCharCharChar1">
    <w:name w:val="Dipnot Metni Char,Dipnot Metni Char Char Char Char,Dipnot Metni Char Char Char1"/>
    <w:basedOn w:val="VarsayılanParagrafYazıTipi"/>
    <w:next w:val="DipnotMetniChar,DipnotMetniCharCharCharChar,DipnotMetniCharCharChar1"/>
    <w:autoRedefine w:val="0"/>
    <w:hidden w:val="0"/>
    <w:qFormat w:val="0"/>
    <w:rPr>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jId6LCajkYgoWOmfiisTErSqQA==">CgMxLjAyCGguZ2pkZ3hzMgloLjMwajB6bGwyCWguMWZvYjl0ZTIJaC4zem55c2g3MgloLjJldDkycDAyCGgudHlqY3d0OAByITFLOXVFWS1qb0VpVnhBenZIbVpyT1pQSHJmU1h4bVdfMw==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2021-03-22T19:19:00Z</dcterms:created>
  <dc:creator>PEKER INSAAT</dc:creator>
</cp:coreProperties>
</file>